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5C9F81EC" w14:textId="77777777" w:rsidR="00EE3DB0"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wraz</w:t>
      </w:r>
    </w:p>
    <w:p w14:paraId="21648D5F" w14:textId="1D1EB21B" w:rsidR="002507AB" w:rsidRPr="0089020B"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przyłączami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na terenie Rejonu Energetycznego </w:t>
      </w:r>
      <w:r w:rsidR="00237E41">
        <w:rPr>
          <w:rFonts w:asciiTheme="minorHAnsi" w:hAnsiTheme="minorHAnsi" w:cstheme="minorHAnsi"/>
          <w:b/>
          <w:i/>
          <w:color w:val="FF0000"/>
          <w:sz w:val="20"/>
        </w:rPr>
        <w:t xml:space="preserve">Sieradz w miejscowości </w:t>
      </w:r>
      <w:r w:rsidR="00AE1B7A">
        <w:rPr>
          <w:rFonts w:asciiTheme="minorHAnsi" w:hAnsiTheme="minorHAnsi" w:cstheme="minorHAnsi"/>
          <w:b/>
          <w:i/>
          <w:color w:val="FF0000"/>
          <w:sz w:val="20"/>
        </w:rPr>
        <w:t>Rowy</w:t>
      </w:r>
      <w:r w:rsidR="00EE3DB0">
        <w:rPr>
          <w:rFonts w:asciiTheme="minorHAnsi" w:hAnsiTheme="minorHAnsi" w:cstheme="minorHAnsi"/>
          <w:b/>
          <w:i/>
          <w:color w:val="FF0000"/>
          <w:sz w:val="20"/>
        </w:rPr>
        <w:t xml:space="preserve">, gm. </w:t>
      </w:r>
      <w:r w:rsidR="00AE1B7A">
        <w:rPr>
          <w:rFonts w:asciiTheme="minorHAnsi" w:hAnsiTheme="minorHAnsi" w:cstheme="minorHAnsi"/>
          <w:b/>
          <w:i/>
          <w:color w:val="FF0000"/>
          <w:sz w:val="20"/>
        </w:rPr>
        <w:t>Wróblew</w:t>
      </w:r>
      <w:r w:rsidR="00EE3DB0">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037DC8F5"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Zadanie 1 – Wymianę istniejącej linii napowietrznej</w:t>
      </w:r>
      <w:r w:rsidR="00DD3F4E">
        <w:rPr>
          <w:rFonts w:asciiTheme="minorHAnsi" w:hAnsiTheme="minorHAnsi" w:cstheme="minorHAnsi"/>
          <w:b/>
          <w:i/>
          <w:color w:val="FF0000"/>
          <w:sz w:val="20"/>
        </w:rPr>
        <w:t xml:space="preserve"> </w:t>
      </w:r>
      <w:proofErr w:type="spellStart"/>
      <w:r w:rsidRPr="002507AB">
        <w:rPr>
          <w:rFonts w:asciiTheme="minorHAnsi" w:hAnsiTheme="minorHAnsi" w:cstheme="minorHAnsi"/>
          <w:b/>
          <w:i/>
          <w:color w:val="FF0000"/>
          <w:sz w:val="20"/>
        </w:rPr>
        <w:t>nn</w:t>
      </w:r>
      <w:proofErr w:type="spellEnd"/>
      <w:r w:rsidRPr="002507AB">
        <w:rPr>
          <w:rFonts w:asciiTheme="minorHAnsi" w:hAnsiTheme="minorHAnsi" w:cstheme="minorHAnsi"/>
          <w:b/>
          <w:i/>
          <w:color w:val="FF0000"/>
          <w:sz w:val="20"/>
        </w:rPr>
        <w:t xml:space="preserve"> wraz przyłączami </w:t>
      </w:r>
      <w:proofErr w:type="spellStart"/>
      <w:r w:rsidRPr="002507AB">
        <w:rPr>
          <w:rFonts w:asciiTheme="minorHAnsi" w:hAnsiTheme="minorHAnsi" w:cstheme="minorHAnsi"/>
          <w:b/>
          <w:i/>
          <w:color w:val="FF0000"/>
          <w:sz w:val="20"/>
        </w:rPr>
        <w:t>nn</w:t>
      </w:r>
      <w:proofErr w:type="spellEnd"/>
      <w:r w:rsidRPr="002507AB">
        <w:rPr>
          <w:rFonts w:asciiTheme="minorHAnsi" w:hAnsiTheme="minorHAnsi" w:cstheme="minorHAnsi"/>
          <w:b/>
          <w:i/>
          <w:color w:val="FF0000"/>
          <w:sz w:val="20"/>
        </w:rPr>
        <w:t xml:space="preserve"> ze stacji 15/0,4kV </w:t>
      </w:r>
      <w:r w:rsidR="003F086E">
        <w:rPr>
          <w:rFonts w:asciiTheme="minorHAnsi" w:hAnsiTheme="minorHAnsi" w:cstheme="minorHAnsi"/>
          <w:b/>
          <w:i/>
          <w:color w:val="FF0000"/>
          <w:sz w:val="20"/>
        </w:rPr>
        <w:br/>
      </w:r>
      <w:r w:rsidR="00EE3DB0">
        <w:rPr>
          <w:rFonts w:asciiTheme="minorHAnsi" w:hAnsiTheme="minorHAnsi" w:cstheme="minorHAnsi"/>
          <w:b/>
          <w:i/>
          <w:color w:val="FF0000"/>
          <w:sz w:val="20"/>
        </w:rPr>
        <w:t>3-</w:t>
      </w:r>
      <w:r w:rsidR="003F086E">
        <w:rPr>
          <w:rFonts w:asciiTheme="minorHAnsi" w:hAnsiTheme="minorHAnsi" w:cstheme="minorHAnsi"/>
          <w:b/>
          <w:i/>
          <w:color w:val="FF0000"/>
          <w:sz w:val="20"/>
        </w:rPr>
        <w:t>0</w:t>
      </w:r>
      <w:r w:rsidR="00AE1B7A">
        <w:rPr>
          <w:rFonts w:asciiTheme="minorHAnsi" w:hAnsiTheme="minorHAnsi" w:cstheme="minorHAnsi"/>
          <w:b/>
          <w:i/>
          <w:color w:val="FF0000"/>
          <w:sz w:val="20"/>
        </w:rPr>
        <w:t>523</w:t>
      </w:r>
      <w:r w:rsidR="00EE3DB0">
        <w:rPr>
          <w:rFonts w:asciiTheme="minorHAnsi" w:hAnsiTheme="minorHAnsi" w:cstheme="minorHAnsi"/>
          <w:b/>
          <w:i/>
          <w:color w:val="FF0000"/>
          <w:sz w:val="20"/>
        </w:rPr>
        <w:t xml:space="preserve"> </w:t>
      </w:r>
      <w:r w:rsidR="003F086E">
        <w:rPr>
          <w:rFonts w:asciiTheme="minorHAnsi" w:hAnsiTheme="minorHAnsi" w:cstheme="minorHAnsi"/>
          <w:b/>
          <w:i/>
          <w:color w:val="FF0000"/>
          <w:sz w:val="20"/>
        </w:rPr>
        <w:t xml:space="preserve">Rowy </w:t>
      </w:r>
      <w:r w:rsidR="00AE1B7A">
        <w:rPr>
          <w:rFonts w:asciiTheme="minorHAnsi" w:hAnsiTheme="minorHAnsi" w:cstheme="minorHAnsi"/>
          <w:b/>
          <w:i/>
          <w:color w:val="FF0000"/>
          <w:sz w:val="20"/>
        </w:rPr>
        <w:t>1</w:t>
      </w:r>
      <w:r w:rsidRPr="002507AB">
        <w:rPr>
          <w:rFonts w:asciiTheme="minorHAnsi" w:hAnsiTheme="minorHAnsi" w:cstheme="minorHAnsi"/>
          <w:b/>
          <w:i/>
          <w:color w:val="FF0000"/>
          <w:sz w:val="20"/>
        </w:rPr>
        <w:t xml:space="preserve"> o łącznej długości L= </w:t>
      </w:r>
      <w:r w:rsidR="006C55A6">
        <w:rPr>
          <w:rFonts w:asciiTheme="minorHAnsi" w:hAnsiTheme="minorHAnsi" w:cstheme="minorHAnsi"/>
          <w:b/>
          <w:i/>
          <w:color w:val="FF0000"/>
          <w:sz w:val="20"/>
        </w:rPr>
        <w:t>2,035</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1DB2A68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E2011C">
        <w:rPr>
          <w:rFonts w:ascii="Verdana" w:hAnsi="Verdana" w:cstheme="minorHAnsi"/>
          <w:b/>
          <w:bCs/>
          <w:color w:val="FF0000"/>
          <w:sz w:val="18"/>
          <w:szCs w:val="18"/>
        </w:rPr>
        <w:t>Sieradz</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18771D14" w:rsidR="0089020B" w:rsidRPr="0089020B" w:rsidRDefault="00380DA0"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31.08.2026 </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3006FAE5"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E2011C">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w:t>
      </w:r>
      <w:r w:rsidR="00E2011C">
        <w:rPr>
          <w:rFonts w:ascii="Verdana" w:hAnsi="Verdana" w:cstheme="minorHAnsi"/>
          <w:b/>
          <w:bCs/>
          <w:i/>
          <w:iCs/>
          <w:color w:val="FF0000"/>
          <w:sz w:val="18"/>
          <w:szCs w:val="18"/>
        </w:rPr>
        <w:t xml:space="preserve"> </w:t>
      </w:r>
      <w:r w:rsidR="00797A68">
        <w:rPr>
          <w:rFonts w:ascii="Verdana" w:hAnsi="Verdana" w:cstheme="minorHAnsi"/>
          <w:b/>
          <w:bCs/>
          <w:i/>
          <w:iCs/>
          <w:color w:val="FF0000"/>
          <w:sz w:val="18"/>
          <w:szCs w:val="18"/>
        </w:rPr>
        <w:t>Rowy</w:t>
      </w:r>
      <w:r w:rsidR="00DD3F4E">
        <w:rPr>
          <w:rFonts w:ascii="Verdana" w:hAnsi="Verdana" w:cstheme="minorHAnsi"/>
          <w:b/>
          <w:bCs/>
          <w:i/>
          <w:iCs/>
          <w:color w:val="FF0000"/>
          <w:sz w:val="18"/>
          <w:szCs w:val="18"/>
        </w:rPr>
        <w:t xml:space="preserve">, gm. </w:t>
      </w:r>
      <w:r w:rsidR="00797A68">
        <w:rPr>
          <w:rFonts w:ascii="Verdana" w:hAnsi="Verdana" w:cstheme="minorHAnsi"/>
          <w:b/>
          <w:bCs/>
          <w:i/>
          <w:iCs/>
          <w:color w:val="FF0000"/>
          <w:sz w:val="18"/>
          <w:szCs w:val="18"/>
        </w:rPr>
        <w:t>Wróblew</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lastRenderedPageBreak/>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20280" w14:textId="77777777" w:rsidR="00AC15C0" w:rsidRDefault="00AC15C0" w:rsidP="004A302B">
      <w:pPr>
        <w:spacing w:line="240" w:lineRule="auto"/>
      </w:pPr>
      <w:r>
        <w:separator/>
      </w:r>
    </w:p>
  </w:endnote>
  <w:endnote w:type="continuationSeparator" w:id="0">
    <w:p w14:paraId="3FA713FC" w14:textId="77777777" w:rsidR="00AC15C0" w:rsidRDefault="00AC15C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97D33" w14:textId="77777777" w:rsidR="00AC15C0" w:rsidRDefault="00AC15C0" w:rsidP="004A302B">
      <w:pPr>
        <w:spacing w:line="240" w:lineRule="auto"/>
      </w:pPr>
      <w:r>
        <w:separator/>
      </w:r>
    </w:p>
  </w:footnote>
  <w:footnote w:type="continuationSeparator" w:id="0">
    <w:p w14:paraId="0AE645D6" w14:textId="77777777" w:rsidR="00AC15C0" w:rsidRDefault="00AC15C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7674096C" w14:textId="77777777" w:rsidR="00C105A2" w:rsidRPr="00C105A2" w:rsidRDefault="00C105A2" w:rsidP="00C105A2">
          <w:pPr>
            <w:suppressAutoHyphens/>
            <w:ind w:right="187"/>
            <w:rPr>
              <w:rFonts w:asciiTheme="majorHAnsi" w:hAnsiTheme="majorHAnsi"/>
              <w:color w:val="000000" w:themeColor="text1"/>
              <w:sz w:val="14"/>
              <w:szCs w:val="18"/>
            </w:rPr>
          </w:pPr>
        </w:p>
        <w:p w14:paraId="14019362" w14:textId="5C9A5D0F" w:rsidR="00802AC7" w:rsidRPr="006B2C28" w:rsidRDefault="00C105A2" w:rsidP="00C105A2">
          <w:pPr>
            <w:suppressAutoHyphens/>
            <w:ind w:right="187"/>
            <w:rPr>
              <w:rFonts w:asciiTheme="majorHAnsi" w:hAnsiTheme="majorHAnsi"/>
              <w:color w:val="000000" w:themeColor="text1"/>
              <w:sz w:val="14"/>
              <w:szCs w:val="18"/>
            </w:rPr>
          </w:pPr>
          <w:r w:rsidRPr="00C105A2">
            <w:rPr>
              <w:rFonts w:asciiTheme="majorHAnsi" w:hAnsiTheme="majorHAnsi"/>
              <w:color w:val="000000" w:themeColor="text1"/>
              <w:sz w:val="14"/>
              <w:szCs w:val="18"/>
            </w:rPr>
            <w:t>POST/DYS/OLD/GZ/04587/2025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1DD5"/>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4727"/>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7F2"/>
    <w:rsid w:val="001B5C6C"/>
    <w:rsid w:val="001B6ABA"/>
    <w:rsid w:val="001B7E8D"/>
    <w:rsid w:val="001C2D48"/>
    <w:rsid w:val="001C2DA1"/>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100"/>
    <w:rsid w:val="00213DF4"/>
    <w:rsid w:val="0021494D"/>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37E41"/>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777F2"/>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8A4"/>
    <w:rsid w:val="002A1E74"/>
    <w:rsid w:val="002A1ED6"/>
    <w:rsid w:val="002A321D"/>
    <w:rsid w:val="002A347B"/>
    <w:rsid w:val="002A3ECF"/>
    <w:rsid w:val="002A4D08"/>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053B"/>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0DA0"/>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67"/>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086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BBE"/>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4C54"/>
    <w:rsid w:val="00536091"/>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3D2"/>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085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84D"/>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A6"/>
    <w:rsid w:val="006C55D8"/>
    <w:rsid w:val="006C5803"/>
    <w:rsid w:val="006C63E4"/>
    <w:rsid w:val="006C6DDE"/>
    <w:rsid w:val="006C7970"/>
    <w:rsid w:val="006D0B33"/>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3A6"/>
    <w:rsid w:val="00731E14"/>
    <w:rsid w:val="007328FA"/>
    <w:rsid w:val="00734385"/>
    <w:rsid w:val="00734F74"/>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97A68"/>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1B8"/>
    <w:rsid w:val="00813E8A"/>
    <w:rsid w:val="008149F6"/>
    <w:rsid w:val="008151CA"/>
    <w:rsid w:val="00817450"/>
    <w:rsid w:val="00821056"/>
    <w:rsid w:val="00821178"/>
    <w:rsid w:val="0082172A"/>
    <w:rsid w:val="00821E64"/>
    <w:rsid w:val="00822410"/>
    <w:rsid w:val="00822D63"/>
    <w:rsid w:val="00824CAE"/>
    <w:rsid w:val="008254B7"/>
    <w:rsid w:val="00827409"/>
    <w:rsid w:val="0082742D"/>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2CD7"/>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3E6A"/>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1B6"/>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87C2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463"/>
    <w:rsid w:val="009B2C02"/>
    <w:rsid w:val="009B3788"/>
    <w:rsid w:val="009B3C0A"/>
    <w:rsid w:val="009B3C31"/>
    <w:rsid w:val="009B578D"/>
    <w:rsid w:val="009B5EB1"/>
    <w:rsid w:val="009B67E2"/>
    <w:rsid w:val="009C05FD"/>
    <w:rsid w:val="009C1121"/>
    <w:rsid w:val="009C1762"/>
    <w:rsid w:val="009C1CD6"/>
    <w:rsid w:val="009C205D"/>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5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15C0"/>
    <w:rsid w:val="00AC230B"/>
    <w:rsid w:val="00AC2669"/>
    <w:rsid w:val="00AC37C8"/>
    <w:rsid w:val="00AD0BC7"/>
    <w:rsid w:val="00AD13A7"/>
    <w:rsid w:val="00AD1DF0"/>
    <w:rsid w:val="00AD2645"/>
    <w:rsid w:val="00AD47D7"/>
    <w:rsid w:val="00AD5A66"/>
    <w:rsid w:val="00AD6553"/>
    <w:rsid w:val="00AE19DD"/>
    <w:rsid w:val="00AE1B7A"/>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5A2"/>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81E"/>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5B02"/>
    <w:rsid w:val="00CA5F06"/>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3F4E"/>
    <w:rsid w:val="00DD48B1"/>
    <w:rsid w:val="00DD4A4D"/>
    <w:rsid w:val="00DD56DF"/>
    <w:rsid w:val="00DD5C5D"/>
    <w:rsid w:val="00DE096E"/>
    <w:rsid w:val="00DE0DEB"/>
    <w:rsid w:val="00DE2281"/>
    <w:rsid w:val="00DE281B"/>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F1E"/>
    <w:rsid w:val="00E2007B"/>
    <w:rsid w:val="00E2011C"/>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BB"/>
    <w:rsid w:val="00EE30D7"/>
    <w:rsid w:val="00EE3DB0"/>
    <w:rsid w:val="00EE3DB1"/>
    <w:rsid w:val="00EE4B8A"/>
    <w:rsid w:val="00EE5F45"/>
    <w:rsid w:val="00EE76C8"/>
    <w:rsid w:val="00EE7E0A"/>
    <w:rsid w:val="00EF20BE"/>
    <w:rsid w:val="00EF7DD4"/>
    <w:rsid w:val="00F00B3C"/>
    <w:rsid w:val="00F0112B"/>
    <w:rsid w:val="00F011BC"/>
    <w:rsid w:val="00F023E1"/>
    <w:rsid w:val="00F0318D"/>
    <w:rsid w:val="00F041B8"/>
    <w:rsid w:val="00F1450E"/>
    <w:rsid w:val="00F158A3"/>
    <w:rsid w:val="00F165ED"/>
    <w:rsid w:val="00F16DCF"/>
    <w:rsid w:val="00F2017D"/>
    <w:rsid w:val="00F2052C"/>
    <w:rsid w:val="00F20978"/>
    <w:rsid w:val="00F226AB"/>
    <w:rsid w:val="00F23659"/>
    <w:rsid w:val="00F24980"/>
    <w:rsid w:val="00F259B6"/>
    <w:rsid w:val="00F304AB"/>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661"/>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2DF2"/>
    <w:rsid w:val="00F94B64"/>
    <w:rsid w:val="00F95D6C"/>
    <w:rsid w:val="00F963B0"/>
    <w:rsid w:val="00F9796B"/>
    <w:rsid w:val="00F97A80"/>
    <w:rsid w:val="00FA0252"/>
    <w:rsid w:val="00FA08C4"/>
    <w:rsid w:val="00FA0E61"/>
    <w:rsid w:val="00FA2095"/>
    <w:rsid w:val="00FA2E02"/>
    <w:rsid w:val="00FA3131"/>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1.docx</dmsv2BaseFileName>
    <dmsv2BaseDisplayName xmlns="http://schemas.microsoft.com/sharepoint/v3">Załącznik nr 1 do SWZ - OPZ - część 1</dmsv2BaseDisplayName>
    <dmsv2SWPP2ObjectNumber xmlns="http://schemas.microsoft.com/sharepoint/v3">POST/DYS/OLD/GZ/04587/2025                        </dmsv2SWPP2ObjectNumber>
    <dmsv2SWPP2SumMD5 xmlns="http://schemas.microsoft.com/sharepoint/v3">13df0cf778a2c5c7611559ca703d1300</dmsv2SWPP2SumMD5>
    <dmsv2BaseMoved xmlns="http://schemas.microsoft.com/sharepoint/v3">false</dmsv2BaseMoved>
    <dmsv2BaseIsSensitive xmlns="http://schemas.microsoft.com/sharepoint/v3">true</dmsv2BaseIsSensitive>
    <dmsv2SWPP2IDSWPP2 xmlns="http://schemas.microsoft.com/sharepoint/v3">702126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24028082</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JEUP5JKVCYQC-1133723987-26232</_dlc_DocId>
    <_dlc_DocIdUrl xmlns="a19cb1c7-c5c7-46d4-85ae-d83685407bba">
      <Url>https://swpp2.dms.gkpge.pl/sites/41/_layouts/15/DocIdRedir.aspx?ID=JEUP5JKVCYQC-1133723987-26232</Url>
      <Description>JEUP5JKVCYQC-1133723987-26232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DCF5314-49CB-49F2-9696-688CF1FFED4E}"/>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C469E396-BE3B-43CF-8D60-E5ECC87B091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Pages>
  <Words>1667</Words>
  <Characters>10007</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Goc-Moszyńska Magdalena [PGE Dystr. O.Łódź]</cp:lastModifiedBy>
  <cp:revision>28</cp:revision>
  <cp:lastPrinted>2021-02-26T13:14:00Z</cp:lastPrinted>
  <dcterms:created xsi:type="dcterms:W3CDTF">2025-10-28T08:37:00Z</dcterms:created>
  <dcterms:modified xsi:type="dcterms:W3CDTF">2025-12-18T16:02:00Z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4b8e1b0b-dd9a-47c7-9992-07a17b8d4941</vt:lpwstr>
  </property>
</Properties>
</file>